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8281F" w14:textId="3DC2D1B2" w:rsidR="00245A07" w:rsidRPr="00CA0B0C" w:rsidRDefault="00245A07" w:rsidP="00245A07">
      <w:pPr>
        <w:jc w:val="both"/>
        <w:rPr>
          <w:rFonts w:ascii="Arial" w:hAnsi="Arial" w:cs="Arial"/>
          <w:bCs/>
        </w:rPr>
      </w:pPr>
      <w:r w:rsidRPr="00CA0B0C">
        <w:rPr>
          <w:rFonts w:ascii="Arial" w:hAnsi="Arial" w:cs="Arial"/>
          <w:bCs/>
        </w:rPr>
        <w:t xml:space="preserve">Članovi Turističkog vijeća Turističke zajednice Grada Paga na 2. sjednici Turističkog vijeća,  održanoj dana 28. lipnja 2021. godine d o n o s e </w:t>
      </w:r>
    </w:p>
    <w:p w14:paraId="7AA82B5D" w14:textId="77777777" w:rsidR="00245A07" w:rsidRPr="00CA0B0C" w:rsidRDefault="00245A07" w:rsidP="00245A07">
      <w:pPr>
        <w:jc w:val="both"/>
        <w:rPr>
          <w:rFonts w:ascii="Arial" w:hAnsi="Arial" w:cs="Arial"/>
          <w:bCs/>
        </w:rPr>
      </w:pPr>
    </w:p>
    <w:p w14:paraId="2094839A" w14:textId="77777777" w:rsidR="00245A07" w:rsidRPr="00CA0B0C" w:rsidRDefault="00245A07" w:rsidP="00245A07">
      <w:pPr>
        <w:jc w:val="both"/>
        <w:rPr>
          <w:rFonts w:ascii="Arial" w:hAnsi="Arial" w:cs="Arial"/>
          <w:b/>
        </w:rPr>
      </w:pPr>
    </w:p>
    <w:p w14:paraId="7C896550" w14:textId="75F37752" w:rsidR="00245A07" w:rsidRPr="00CA0B0C" w:rsidRDefault="00245A07" w:rsidP="00CA0B0C">
      <w:pPr>
        <w:jc w:val="center"/>
        <w:rPr>
          <w:rFonts w:ascii="Arial" w:hAnsi="Arial" w:cs="Arial"/>
          <w:b/>
          <w:sz w:val="24"/>
          <w:szCs w:val="24"/>
        </w:rPr>
      </w:pPr>
      <w:r w:rsidRPr="00CA0B0C">
        <w:rPr>
          <w:rFonts w:ascii="Arial" w:hAnsi="Arial" w:cs="Arial"/>
          <w:b/>
          <w:sz w:val="24"/>
          <w:szCs w:val="24"/>
        </w:rPr>
        <w:t>INTERNI AKT</w:t>
      </w:r>
    </w:p>
    <w:p w14:paraId="3E009B02" w14:textId="183586F1" w:rsidR="00245A07" w:rsidRPr="00CA0B0C" w:rsidRDefault="00245A07" w:rsidP="00CA0B0C">
      <w:pPr>
        <w:jc w:val="center"/>
        <w:rPr>
          <w:rFonts w:ascii="Arial" w:hAnsi="Arial" w:cs="Arial"/>
          <w:b/>
          <w:sz w:val="24"/>
          <w:szCs w:val="24"/>
        </w:rPr>
      </w:pPr>
      <w:r w:rsidRPr="00CA0B0C">
        <w:rPr>
          <w:rFonts w:ascii="Arial" w:hAnsi="Arial" w:cs="Arial"/>
          <w:b/>
          <w:sz w:val="24"/>
          <w:szCs w:val="24"/>
        </w:rPr>
        <w:t>O UTVRĐIVANJU KRITERIJA ZA PLAĆANJE PREDUJMOM</w:t>
      </w:r>
    </w:p>
    <w:p w14:paraId="384779C3" w14:textId="77777777" w:rsidR="00245A07" w:rsidRPr="00CA0B0C" w:rsidRDefault="00245A07" w:rsidP="00CA0B0C">
      <w:pPr>
        <w:jc w:val="center"/>
        <w:rPr>
          <w:rFonts w:ascii="Arial" w:hAnsi="Arial" w:cs="Arial"/>
          <w:b/>
          <w:sz w:val="24"/>
          <w:szCs w:val="24"/>
        </w:rPr>
      </w:pPr>
    </w:p>
    <w:p w14:paraId="2917061B" w14:textId="77777777" w:rsidR="00245A07" w:rsidRPr="00CA0B0C" w:rsidRDefault="00245A07" w:rsidP="00245A07">
      <w:pPr>
        <w:jc w:val="both"/>
        <w:rPr>
          <w:rFonts w:ascii="Arial" w:hAnsi="Arial" w:cs="Arial"/>
          <w:sz w:val="24"/>
          <w:szCs w:val="24"/>
        </w:rPr>
      </w:pPr>
      <w:r w:rsidRPr="00CA0B0C">
        <w:rPr>
          <w:rFonts w:ascii="Arial" w:hAnsi="Arial" w:cs="Arial"/>
          <w:sz w:val="24"/>
          <w:szCs w:val="24"/>
        </w:rPr>
        <w:t>Ovim Internim aktom Turistička zajednica Grada Paga uređuje kriterije, odnosno pravila za plaćanje predujmom. Ovaj se akt primjenjuje isključivo za zaposlenike neprofitne organizacije.</w:t>
      </w:r>
    </w:p>
    <w:p w14:paraId="73521299" w14:textId="77777777" w:rsidR="00245A07" w:rsidRPr="00CA0B0C" w:rsidRDefault="00245A07" w:rsidP="00245A07">
      <w:pPr>
        <w:jc w:val="both"/>
        <w:rPr>
          <w:rFonts w:ascii="Arial" w:hAnsi="Arial" w:cs="Arial"/>
          <w:sz w:val="24"/>
          <w:szCs w:val="24"/>
        </w:rPr>
      </w:pPr>
    </w:p>
    <w:p w14:paraId="2EA05ACA" w14:textId="77777777" w:rsidR="00245A07" w:rsidRPr="00CA0B0C" w:rsidRDefault="00245A07" w:rsidP="00245A07">
      <w:pPr>
        <w:jc w:val="both"/>
        <w:rPr>
          <w:rFonts w:ascii="Arial" w:hAnsi="Arial" w:cs="Arial"/>
          <w:b/>
          <w:sz w:val="24"/>
          <w:szCs w:val="24"/>
        </w:rPr>
      </w:pPr>
      <w:r w:rsidRPr="00CA0B0C">
        <w:rPr>
          <w:rFonts w:ascii="Arial" w:hAnsi="Arial" w:cs="Arial"/>
          <w:b/>
          <w:sz w:val="24"/>
          <w:szCs w:val="24"/>
        </w:rPr>
        <w:t>Predujmovi</w:t>
      </w:r>
    </w:p>
    <w:p w14:paraId="58C7BDBD" w14:textId="77777777" w:rsidR="00245A07" w:rsidRPr="00CA0B0C" w:rsidRDefault="00245A07" w:rsidP="00245A07">
      <w:pPr>
        <w:jc w:val="both"/>
        <w:rPr>
          <w:rFonts w:ascii="Arial" w:hAnsi="Arial" w:cs="Arial"/>
          <w:sz w:val="24"/>
          <w:szCs w:val="24"/>
        </w:rPr>
      </w:pPr>
      <w:r w:rsidRPr="00CA0B0C">
        <w:rPr>
          <w:rFonts w:ascii="Arial" w:hAnsi="Arial" w:cs="Arial"/>
          <w:sz w:val="24"/>
          <w:szCs w:val="24"/>
        </w:rPr>
        <w:t>Plaćanje predujmom se može koristiti samo iznimno kada je to predviđeno ugovorom sklopljenim s dobavljačem roba/usluga, odnosno kad vrsta nabavljene robe/naručene usluge zahtjeva plaćanje predujmom jer se već dobavljaču nastali troškovi.</w:t>
      </w:r>
    </w:p>
    <w:p w14:paraId="01C6EB02" w14:textId="77777777" w:rsidR="00245A07" w:rsidRPr="00CA0B0C" w:rsidRDefault="00245A07" w:rsidP="00245A07">
      <w:pPr>
        <w:jc w:val="both"/>
        <w:rPr>
          <w:rFonts w:ascii="Arial" w:hAnsi="Arial" w:cs="Arial"/>
          <w:sz w:val="24"/>
          <w:szCs w:val="24"/>
        </w:rPr>
      </w:pPr>
      <w:r w:rsidRPr="00CA0B0C">
        <w:rPr>
          <w:rFonts w:ascii="Arial" w:hAnsi="Arial" w:cs="Arial"/>
          <w:sz w:val="24"/>
          <w:szCs w:val="24"/>
        </w:rPr>
        <w:t xml:space="preserve">Za plaćanje predujmom dobavljač mora dostaviti predračun za nastale troškove, na kojem </w:t>
      </w:r>
      <w:r w:rsidR="00215535" w:rsidRPr="00CA0B0C">
        <w:rPr>
          <w:rFonts w:ascii="Arial" w:hAnsi="Arial" w:cs="Arial"/>
          <w:sz w:val="24"/>
          <w:szCs w:val="24"/>
        </w:rPr>
        <w:t>moraju biti navedeni svi elementi predračuna u skladu sa zakonskim i podzakonskim propisima.</w:t>
      </w:r>
    </w:p>
    <w:p w14:paraId="47325C0E" w14:textId="77777777" w:rsidR="00215535" w:rsidRPr="00CA0B0C" w:rsidRDefault="00215535" w:rsidP="00245A07">
      <w:pPr>
        <w:jc w:val="both"/>
        <w:rPr>
          <w:rFonts w:ascii="Arial" w:hAnsi="Arial" w:cs="Arial"/>
          <w:sz w:val="24"/>
          <w:szCs w:val="24"/>
        </w:rPr>
      </w:pPr>
      <w:r w:rsidRPr="00CA0B0C">
        <w:rPr>
          <w:rFonts w:ascii="Arial" w:hAnsi="Arial" w:cs="Arial"/>
          <w:sz w:val="24"/>
          <w:szCs w:val="24"/>
        </w:rPr>
        <w:t>Račun mora sadržavati detaljnu specifikaciju roba/usluga koje su naručene ugovorom te mora biti vidljivo da je dio računa plaćen predujmom. Na računu moraju biti navedeni i ostali elementi računa u skladu sa zakonskim i podzakonskim propisima.</w:t>
      </w:r>
    </w:p>
    <w:p w14:paraId="720264FE" w14:textId="77777777" w:rsidR="00215535" w:rsidRPr="00CA0B0C" w:rsidRDefault="00215535" w:rsidP="00245A07">
      <w:pPr>
        <w:jc w:val="both"/>
        <w:rPr>
          <w:rFonts w:ascii="Arial" w:hAnsi="Arial" w:cs="Arial"/>
          <w:sz w:val="24"/>
          <w:szCs w:val="24"/>
        </w:rPr>
      </w:pPr>
      <w:r w:rsidRPr="00CA0B0C">
        <w:rPr>
          <w:rFonts w:ascii="Arial" w:hAnsi="Arial" w:cs="Arial"/>
          <w:sz w:val="24"/>
          <w:szCs w:val="24"/>
        </w:rPr>
        <w:t>Za predračun (za plaćanje predujma) te za račun mora se obaviti matematička kontrola ispravnosti iznosa koji je zaračunan.</w:t>
      </w:r>
    </w:p>
    <w:p w14:paraId="60E9684C" w14:textId="77777777" w:rsidR="00215535" w:rsidRPr="00CA0B0C" w:rsidRDefault="00215535" w:rsidP="00245A07">
      <w:pPr>
        <w:jc w:val="both"/>
        <w:rPr>
          <w:rFonts w:ascii="Arial" w:hAnsi="Arial" w:cs="Arial"/>
          <w:sz w:val="24"/>
          <w:szCs w:val="24"/>
        </w:rPr>
      </w:pPr>
      <w:r w:rsidRPr="00CA0B0C">
        <w:rPr>
          <w:rFonts w:ascii="Arial" w:hAnsi="Arial" w:cs="Arial"/>
          <w:sz w:val="24"/>
          <w:szCs w:val="24"/>
        </w:rPr>
        <w:t>Kod plaćanja predujmom važe ista pravila koja su postavljena i za preuzimanje obveza. To znači da se predujmom za nabavu robe i/ili usluga može isplatiti ako su sredstva za nabavu određenih dobara i usluga osigurana</w:t>
      </w:r>
      <w:r w:rsidR="00F67FAB" w:rsidRPr="00CA0B0C">
        <w:rPr>
          <w:rFonts w:ascii="Arial" w:hAnsi="Arial" w:cs="Arial"/>
          <w:sz w:val="24"/>
          <w:szCs w:val="24"/>
        </w:rPr>
        <w:t xml:space="preserve"> financijskim</w:t>
      </w:r>
      <w:r w:rsidRPr="00CA0B0C">
        <w:rPr>
          <w:rFonts w:ascii="Arial" w:hAnsi="Arial" w:cs="Arial"/>
          <w:sz w:val="24"/>
          <w:szCs w:val="24"/>
        </w:rPr>
        <w:t xml:space="preserve"> planom i u skladu s pisanom procedurom stvaranja obveza.</w:t>
      </w:r>
    </w:p>
    <w:p w14:paraId="7553078B" w14:textId="77777777" w:rsidR="00215535" w:rsidRPr="00CA0B0C" w:rsidRDefault="00215535" w:rsidP="00245A07">
      <w:pPr>
        <w:jc w:val="both"/>
        <w:rPr>
          <w:rFonts w:ascii="Arial" w:hAnsi="Arial" w:cs="Arial"/>
          <w:sz w:val="24"/>
          <w:szCs w:val="24"/>
        </w:rPr>
      </w:pPr>
    </w:p>
    <w:p w14:paraId="0D555AD5" w14:textId="77777777" w:rsidR="00215535" w:rsidRPr="00CA0B0C" w:rsidRDefault="00215535" w:rsidP="00245A07">
      <w:pPr>
        <w:jc w:val="both"/>
        <w:rPr>
          <w:rFonts w:ascii="Arial" w:hAnsi="Arial" w:cs="Arial"/>
          <w:sz w:val="24"/>
          <w:szCs w:val="24"/>
        </w:rPr>
      </w:pPr>
      <w:r w:rsidRPr="00CA0B0C">
        <w:rPr>
          <w:rFonts w:ascii="Arial" w:hAnsi="Arial" w:cs="Arial"/>
          <w:sz w:val="24"/>
          <w:szCs w:val="24"/>
        </w:rPr>
        <w:t>Pag, 28. lipnja 2021.g.</w:t>
      </w:r>
    </w:p>
    <w:p w14:paraId="1E8A5042" w14:textId="5031604C" w:rsidR="00215535" w:rsidRPr="00CA0B0C" w:rsidRDefault="00215535" w:rsidP="00245A07">
      <w:pPr>
        <w:jc w:val="both"/>
        <w:rPr>
          <w:rFonts w:ascii="Arial" w:hAnsi="Arial" w:cs="Arial"/>
          <w:sz w:val="24"/>
          <w:szCs w:val="24"/>
        </w:rPr>
      </w:pPr>
      <w:r w:rsidRPr="00CA0B0C">
        <w:rPr>
          <w:rFonts w:ascii="Arial" w:hAnsi="Arial" w:cs="Arial"/>
          <w:sz w:val="24"/>
          <w:szCs w:val="24"/>
        </w:rPr>
        <w:t>U</w:t>
      </w:r>
      <w:r w:rsidR="00B739C2" w:rsidRPr="00CA0B0C">
        <w:rPr>
          <w:rFonts w:ascii="Arial" w:hAnsi="Arial" w:cs="Arial"/>
          <w:sz w:val="24"/>
          <w:szCs w:val="24"/>
        </w:rPr>
        <w:t>r.br:55-5-7-21</w:t>
      </w:r>
      <w:r w:rsidRPr="00CA0B0C">
        <w:rPr>
          <w:rFonts w:ascii="Arial" w:hAnsi="Arial" w:cs="Arial"/>
          <w:sz w:val="24"/>
          <w:szCs w:val="24"/>
        </w:rPr>
        <w:tab/>
      </w:r>
      <w:r w:rsidRPr="00CA0B0C">
        <w:rPr>
          <w:rFonts w:ascii="Arial" w:hAnsi="Arial" w:cs="Arial"/>
          <w:sz w:val="24"/>
          <w:szCs w:val="24"/>
        </w:rPr>
        <w:tab/>
      </w:r>
      <w:r w:rsidRPr="00CA0B0C">
        <w:rPr>
          <w:rFonts w:ascii="Arial" w:hAnsi="Arial" w:cs="Arial"/>
          <w:sz w:val="24"/>
          <w:szCs w:val="24"/>
        </w:rPr>
        <w:tab/>
      </w:r>
      <w:r w:rsidRPr="00CA0B0C">
        <w:rPr>
          <w:rFonts w:ascii="Arial" w:hAnsi="Arial" w:cs="Arial"/>
          <w:sz w:val="24"/>
          <w:szCs w:val="24"/>
        </w:rPr>
        <w:tab/>
      </w:r>
      <w:r w:rsidRPr="00CA0B0C">
        <w:rPr>
          <w:rFonts w:ascii="Arial" w:hAnsi="Arial" w:cs="Arial"/>
          <w:sz w:val="24"/>
          <w:szCs w:val="24"/>
        </w:rPr>
        <w:tab/>
      </w:r>
      <w:r w:rsidRPr="00CA0B0C">
        <w:rPr>
          <w:rFonts w:ascii="Arial" w:hAnsi="Arial" w:cs="Arial"/>
          <w:sz w:val="24"/>
          <w:szCs w:val="24"/>
        </w:rPr>
        <w:tab/>
      </w:r>
      <w:r w:rsidRPr="00CA0B0C">
        <w:rPr>
          <w:rFonts w:ascii="Arial" w:hAnsi="Arial" w:cs="Arial"/>
          <w:sz w:val="24"/>
          <w:szCs w:val="24"/>
        </w:rPr>
        <w:tab/>
        <w:t>PREDSJEDNIK</w:t>
      </w:r>
    </w:p>
    <w:p w14:paraId="3B35B444" w14:textId="2E2CCE3B" w:rsidR="00215535" w:rsidRPr="00CA0B0C" w:rsidRDefault="00215535" w:rsidP="00245A07">
      <w:pPr>
        <w:jc w:val="both"/>
        <w:rPr>
          <w:rFonts w:ascii="Arial" w:hAnsi="Arial" w:cs="Arial"/>
          <w:sz w:val="24"/>
          <w:szCs w:val="24"/>
        </w:rPr>
      </w:pPr>
      <w:r w:rsidRPr="00CA0B0C">
        <w:rPr>
          <w:rFonts w:ascii="Arial" w:hAnsi="Arial" w:cs="Arial"/>
          <w:sz w:val="24"/>
          <w:szCs w:val="24"/>
        </w:rPr>
        <w:tab/>
      </w:r>
      <w:r w:rsidRPr="00CA0B0C">
        <w:rPr>
          <w:rFonts w:ascii="Arial" w:hAnsi="Arial" w:cs="Arial"/>
          <w:sz w:val="24"/>
          <w:szCs w:val="24"/>
        </w:rPr>
        <w:tab/>
      </w:r>
      <w:r w:rsidRPr="00CA0B0C">
        <w:rPr>
          <w:rFonts w:ascii="Arial" w:hAnsi="Arial" w:cs="Arial"/>
          <w:sz w:val="24"/>
          <w:szCs w:val="24"/>
        </w:rPr>
        <w:tab/>
      </w:r>
      <w:r w:rsidRPr="00CA0B0C">
        <w:rPr>
          <w:rFonts w:ascii="Arial" w:hAnsi="Arial" w:cs="Arial"/>
          <w:sz w:val="24"/>
          <w:szCs w:val="24"/>
        </w:rPr>
        <w:tab/>
      </w:r>
      <w:r w:rsidRPr="00CA0B0C">
        <w:rPr>
          <w:rFonts w:ascii="Arial" w:hAnsi="Arial" w:cs="Arial"/>
          <w:sz w:val="24"/>
          <w:szCs w:val="24"/>
        </w:rPr>
        <w:tab/>
      </w:r>
      <w:r w:rsidRPr="00CA0B0C">
        <w:rPr>
          <w:rFonts w:ascii="Arial" w:hAnsi="Arial" w:cs="Arial"/>
          <w:sz w:val="24"/>
          <w:szCs w:val="24"/>
        </w:rPr>
        <w:tab/>
      </w:r>
      <w:r w:rsidRPr="00CA0B0C">
        <w:rPr>
          <w:rFonts w:ascii="Arial" w:hAnsi="Arial" w:cs="Arial"/>
          <w:sz w:val="24"/>
          <w:szCs w:val="24"/>
        </w:rPr>
        <w:tab/>
      </w:r>
      <w:r w:rsidRPr="00CA0B0C">
        <w:rPr>
          <w:rFonts w:ascii="Arial" w:hAnsi="Arial" w:cs="Arial"/>
          <w:sz w:val="24"/>
          <w:szCs w:val="24"/>
        </w:rPr>
        <w:tab/>
      </w:r>
      <w:r w:rsidR="00CA0B0C">
        <w:rPr>
          <w:rFonts w:ascii="Arial" w:hAnsi="Arial" w:cs="Arial"/>
          <w:sz w:val="24"/>
          <w:szCs w:val="24"/>
        </w:rPr>
        <w:tab/>
      </w:r>
      <w:r w:rsidRPr="00CA0B0C">
        <w:rPr>
          <w:rFonts w:ascii="Arial" w:hAnsi="Arial" w:cs="Arial"/>
          <w:sz w:val="24"/>
          <w:szCs w:val="24"/>
        </w:rPr>
        <w:t>Ante Fabijanić</w:t>
      </w:r>
    </w:p>
    <w:sectPr w:rsidR="00215535" w:rsidRPr="00CA0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A07"/>
    <w:rsid w:val="00215535"/>
    <w:rsid w:val="00245A07"/>
    <w:rsid w:val="005227D0"/>
    <w:rsid w:val="00B739C2"/>
    <w:rsid w:val="00CA0B0C"/>
    <w:rsid w:val="00EE037A"/>
    <w:rsid w:val="00F6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6641"/>
  <w15:chartTrackingRefBased/>
  <w15:docId w15:val="{FEB6BF26-99FE-42E5-B66E-B593AD5CC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67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7F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Barbara Ticic</cp:lastModifiedBy>
  <cp:revision>5</cp:revision>
  <cp:lastPrinted>2021-12-15T10:54:00Z</cp:lastPrinted>
  <dcterms:created xsi:type="dcterms:W3CDTF">2021-12-20T09:34:00Z</dcterms:created>
  <dcterms:modified xsi:type="dcterms:W3CDTF">2021-12-20T10:11:00Z</dcterms:modified>
</cp:coreProperties>
</file>